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Author Publishing and Copyright Licence Agreement</w:t>
      </w:r>
    </w:p>
    <w:p>
      <w:pPr>
        <w:jc w:val="center"/>
      </w:pPr>
      <w:r>
        <w:rPr>
          <w:rFonts w:ascii="Calibri" w:hAnsi="Calibri" w:eastAsia="Calibri"/>
          <w:b/>
          <w:i w:val="0"/>
          <w:color w:val="647184"/>
          <w:sz w:val="18"/>
        </w:rPr>
        <w:t>Version 1.0 | Effective 30 August 2026</w:t>
      </w:r>
    </w:p>
    <w:tbl>
      <w:tblPr>
        <w:tblW w:type="auto" w:w="0"/>
        <w:jc w:val="center"/>
        <w:tblLayout w:type="fixed"/>
        <w:tblLook w:firstColumn="1" w:firstRow="1" w:lastColumn="0" w:lastRow="0" w:noHBand="0" w:noVBand="1" w:val="04A0"/>
        <w:tblBorders>
          <w:top w:val="single" w:sz="8" w:color="C8DCEF"/>
          <w:left w:val="single" w:sz="8" w:color="C8DCEF"/>
          <w:bottom w:val="single" w:sz="8" w:color="C8DCEF"/>
          <w:right w:val="single" w:sz="8" w:color="C8DCEF"/>
          <w:insideH w:val="single" w:sz="8" w:color="C8DCEF"/>
          <w:insideV w:val="single" w:sz="8" w:color="C8DCEF"/>
        </w:tblBorders>
      </w:tblPr>
      <w:tblGrid>
        <w:gridCol w:w="9360"/>
      </w:tblGrid>
      <w:tr>
        <w:tc>
          <w:tcPr>
            <w:tcW w:type="dxa" w:w="9360"/>
            <w:shd w:fill="EEF6FF"/>
            <w:tcMar>
              <w:top w:w="130" w:type="dxa"/>
              <w:start w:w="160" w:type="dxa"/>
              <w:bottom w:w="130" w:type="dxa"/>
              <w:end w:w="160" w:type="dxa"/>
            </w:tcMar>
          </w:tcPr>
          <w:p>
            <w:r>
              <w:rPr>
                <w:rFonts w:ascii="Calibri" w:hAnsi="Calibri" w:eastAsia="Calibri"/>
                <w:b/>
                <w:i w:val="0"/>
                <w:color w:val="082D61"/>
                <w:sz w:val="19"/>
              </w:rPr>
              <w:t xml:space="preserve">When to use this form. </w:t>
            </w:r>
            <w:r>
              <w:rPr>
                <w:rFonts w:ascii="Calibri" w:hAnsi="Calibri" w:eastAsia="Calibri"/>
                <w:b w:val="0"/>
                <w:i w:val="0"/>
                <w:color w:val="142033"/>
                <w:sz w:val="19"/>
              </w:rPr>
              <w:t>Complete and upload one signed agreement after NJCR accepts the Article. Do not include this form in the anonymised peer-review manuscript.</w:t>
            </w:r>
          </w:p>
        </w:tc>
      </w:tr>
    </w:tbl>
    <w:p>
      <w:pPr>
        <w:pStyle w:val="Heading1"/>
      </w:pPr>
      <w:r>
        <w:t>ARTICLE DETAILS</w:t>
      </w:r>
    </w:p>
    <w:tbl>
      <w:tblPr>
        <w:tblW w:type="auto" w:w="0"/>
        <w:jc w:val="center"/>
        <w:tblLayout w:type="fixed"/>
        <w:tblLook w:firstColumn="1" w:firstRow="1" w:lastColumn="0" w:lastRow="0" w:noHBand="0" w:noVBand="1" w:val="04A0"/>
        <w:tblBorders>
          <w:top w:val="single" w:sz="6" w:color="D7E0EA"/>
          <w:left w:val="single" w:sz="6" w:color="D7E0EA"/>
          <w:bottom w:val="single" w:sz="6" w:color="D7E0EA"/>
          <w:right w:val="single" w:sz="6" w:color="D7E0EA"/>
          <w:insideH w:val="single" w:sz="6" w:color="D7E0EA"/>
          <w:insideV w:val="single" w:sz="6" w:color="D7E0EA"/>
        </w:tblBorders>
      </w:tblPr>
      <w:tblGrid>
        <w:gridCol w:w="4680"/>
        <w:gridCol w:w="4680"/>
      </w:tblGrid>
      <w:tr>
        <w:trPr>
          <w:cantSplit/>
        </w:trPr>
        <w:tc>
          <w:tcPr>
            <w:tcW w:type="dxa" w:w="2300"/>
            <w:shd w:fill="F2F4F7"/>
            <w:vAlign w:val="center"/>
            <w:tcMar>
              <w:top w:w="105" w:type="dxa"/>
              <w:start w:w="120" w:type="dxa"/>
              <w:bottom w:w="105" w:type="dxa"/>
              <w:end w:w="120" w:type="dxa"/>
            </w:tcMar>
          </w:tcPr>
          <w:p>
            <w:r>
              <w:rPr>
                <w:rFonts w:ascii="Calibri" w:hAnsi="Calibri" w:eastAsia="Calibri"/>
                <w:b/>
                <w:i w:val="0"/>
                <w:color w:val="082D61"/>
                <w:sz w:val="19"/>
              </w:rPr>
              <w:t>Article title</w:t>
            </w:r>
          </w:p>
        </w:tc>
        <w:tc>
          <w:tcPr>
            <w:tcW w:type="dxa" w:w="7060"/>
            <w:vAlign w:val="center"/>
            <w:tcMar>
              <w:top w:w="105" w:type="dxa"/>
              <w:start w:w="120" w:type="dxa"/>
              <w:bottom w:w="105" w:type="dxa"/>
              <w:end w:w="120" w:type="dxa"/>
            </w:tcMar>
          </w:tcPr>
          <w:p>
            <w:r>
              <w:rPr>
                <w:rFonts w:ascii="Calibri" w:hAnsi="Calibri" w:eastAsia="Calibri"/>
                <w:b w:val="0"/>
                <w:i w:val="0"/>
                <w:color w:val="142033"/>
                <w:sz w:val="20"/>
              </w:rPr>
              <w:t xml:space="preserve"> </w:t>
            </w:r>
          </w:p>
        </w:tc>
      </w:tr>
      <w:tr>
        <w:trPr>
          <w:cantSplit/>
        </w:trPr>
        <w:tc>
          <w:tcPr>
            <w:tcW w:type="dxa" w:w="2300"/>
            <w:shd w:fill="F2F4F7"/>
            <w:vAlign w:val="center"/>
            <w:tcMar>
              <w:top w:w="105" w:type="dxa"/>
              <w:start w:w="120" w:type="dxa"/>
              <w:bottom w:w="105" w:type="dxa"/>
              <w:end w:w="120" w:type="dxa"/>
            </w:tcMar>
          </w:tcPr>
          <w:p>
            <w:r>
              <w:rPr>
                <w:rFonts w:ascii="Calibri" w:hAnsi="Calibri" w:eastAsia="Calibri"/>
                <w:b/>
                <w:i w:val="0"/>
                <w:color w:val="082D61"/>
                <w:sz w:val="19"/>
              </w:rPr>
              <w:t>NJCR submission ID</w:t>
            </w:r>
          </w:p>
        </w:tc>
        <w:tc>
          <w:tcPr>
            <w:tcW w:type="dxa" w:w="7060"/>
            <w:vAlign w:val="center"/>
            <w:tcMar>
              <w:top w:w="105" w:type="dxa"/>
              <w:start w:w="120" w:type="dxa"/>
              <w:bottom w:w="105" w:type="dxa"/>
              <w:end w:w="120" w:type="dxa"/>
            </w:tcMar>
          </w:tcPr>
          <w:p>
            <w:r>
              <w:rPr>
                <w:rFonts w:ascii="Calibri" w:hAnsi="Calibri" w:eastAsia="Calibri"/>
                <w:b w:val="0"/>
                <w:i w:val="0"/>
                <w:color w:val="142033"/>
                <w:sz w:val="20"/>
              </w:rPr>
              <w:t xml:space="preserve"> </w:t>
            </w:r>
          </w:p>
        </w:tc>
      </w:tr>
      <w:tr>
        <w:trPr>
          <w:cantSplit/>
        </w:trPr>
        <w:tc>
          <w:tcPr>
            <w:tcW w:type="dxa" w:w="2300"/>
            <w:shd w:fill="F2F4F7"/>
            <w:vAlign w:val="center"/>
            <w:tcMar>
              <w:top w:w="105" w:type="dxa"/>
              <w:start w:w="120" w:type="dxa"/>
              <w:bottom w:w="105" w:type="dxa"/>
              <w:end w:w="120" w:type="dxa"/>
            </w:tcMar>
          </w:tcPr>
          <w:p>
            <w:r>
              <w:rPr>
                <w:rFonts w:ascii="Calibri" w:hAnsi="Calibri" w:eastAsia="Calibri"/>
                <w:b/>
                <w:i w:val="0"/>
                <w:color w:val="082D61"/>
                <w:sz w:val="19"/>
              </w:rPr>
              <w:t>DOI (if assigned)</w:t>
            </w:r>
          </w:p>
        </w:tc>
        <w:tc>
          <w:tcPr>
            <w:tcW w:type="dxa" w:w="7060"/>
            <w:vAlign w:val="center"/>
            <w:tcMar>
              <w:top w:w="105" w:type="dxa"/>
              <w:start w:w="120" w:type="dxa"/>
              <w:bottom w:w="105" w:type="dxa"/>
              <w:end w:w="120" w:type="dxa"/>
            </w:tcMar>
          </w:tcPr>
          <w:p>
            <w:r>
              <w:rPr>
                <w:rFonts w:ascii="Calibri" w:hAnsi="Calibri" w:eastAsia="Calibri"/>
                <w:b w:val="0"/>
                <w:i w:val="0"/>
                <w:color w:val="142033"/>
                <w:sz w:val="20"/>
              </w:rPr>
              <w:t xml:space="preserve"> </w:t>
            </w:r>
          </w:p>
        </w:tc>
      </w:tr>
      <w:tr>
        <w:trPr>
          <w:cantSplit/>
        </w:trPr>
        <w:tc>
          <w:tcPr>
            <w:tcW w:type="dxa" w:w="2300"/>
            <w:shd w:fill="F2F4F7"/>
            <w:vAlign w:val="center"/>
            <w:tcMar>
              <w:top w:w="105" w:type="dxa"/>
              <w:start w:w="120" w:type="dxa"/>
              <w:bottom w:w="105" w:type="dxa"/>
              <w:end w:w="120" w:type="dxa"/>
            </w:tcMar>
          </w:tcPr>
          <w:p>
            <w:r>
              <w:rPr>
                <w:rFonts w:ascii="Calibri" w:hAnsi="Calibri" w:eastAsia="Calibri"/>
                <w:b/>
                <w:i w:val="0"/>
                <w:color w:val="082D61"/>
                <w:sz w:val="19"/>
              </w:rPr>
              <w:t>Corresponding author</w:t>
            </w:r>
          </w:p>
        </w:tc>
        <w:tc>
          <w:tcPr>
            <w:tcW w:type="dxa" w:w="7060"/>
            <w:vAlign w:val="center"/>
            <w:tcMar>
              <w:top w:w="105" w:type="dxa"/>
              <w:start w:w="120" w:type="dxa"/>
              <w:bottom w:w="105" w:type="dxa"/>
              <w:end w:w="120" w:type="dxa"/>
            </w:tcMar>
          </w:tcPr>
          <w:p>
            <w:r>
              <w:rPr>
                <w:rFonts w:ascii="Calibri" w:hAnsi="Calibri" w:eastAsia="Calibri"/>
                <w:b w:val="0"/>
                <w:i w:val="0"/>
                <w:color w:val="142033"/>
                <w:sz w:val="20"/>
              </w:rPr>
              <w:t xml:space="preserve"> </w:t>
            </w:r>
          </w:p>
        </w:tc>
      </w:tr>
      <w:tr>
        <w:trPr>
          <w:cantSplit/>
        </w:trPr>
        <w:tc>
          <w:tcPr>
            <w:tcW w:type="dxa" w:w="2300"/>
            <w:shd w:fill="F2F4F7"/>
            <w:vAlign w:val="center"/>
            <w:tcMar>
              <w:top w:w="105" w:type="dxa"/>
              <w:start w:w="120" w:type="dxa"/>
              <w:bottom w:w="105" w:type="dxa"/>
              <w:end w:w="120" w:type="dxa"/>
            </w:tcMar>
          </w:tcPr>
          <w:p>
            <w:r>
              <w:rPr>
                <w:rFonts w:ascii="Calibri" w:hAnsi="Calibri" w:eastAsia="Calibri"/>
                <w:b/>
                <w:i w:val="0"/>
                <w:color w:val="082D61"/>
                <w:sz w:val="19"/>
              </w:rPr>
              <w:t>All authors</w:t>
            </w:r>
          </w:p>
        </w:tc>
        <w:tc>
          <w:tcPr>
            <w:tcW w:type="dxa" w:w="7060"/>
            <w:vAlign w:val="center"/>
            <w:tcMar>
              <w:top w:w="105" w:type="dxa"/>
              <w:start w:w="120" w:type="dxa"/>
              <w:bottom w:w="105" w:type="dxa"/>
              <w:end w:w="120" w:type="dxa"/>
            </w:tcMar>
          </w:tcPr>
          <w:p>
            <w:r>
              <w:rPr>
                <w:rFonts w:ascii="Calibri" w:hAnsi="Calibri" w:eastAsia="Calibri"/>
                <w:b w:val="0"/>
                <w:i w:val="0"/>
                <w:color w:val="142033"/>
                <w:sz w:val="20"/>
              </w:rPr>
              <w:t xml:space="preserve"> </w:t>
            </w:r>
          </w:p>
        </w:tc>
      </w:tr>
      <w:tr>
        <w:trPr>
          <w:cantSplit/>
        </w:trPr>
        <w:tc>
          <w:tcPr>
            <w:tcW w:type="dxa" w:w="2300"/>
            <w:shd w:fill="F2F4F7"/>
            <w:vAlign w:val="center"/>
            <w:tcMar>
              <w:top w:w="105" w:type="dxa"/>
              <w:start w:w="120" w:type="dxa"/>
              <w:bottom w:w="105" w:type="dxa"/>
              <w:end w:w="120" w:type="dxa"/>
            </w:tcMar>
          </w:tcPr>
          <w:p>
            <w:r>
              <w:rPr>
                <w:rFonts w:ascii="Calibri" w:hAnsi="Calibri" w:eastAsia="Calibri"/>
                <w:b/>
                <w:i w:val="0"/>
                <w:color w:val="082D61"/>
                <w:sz w:val="19"/>
              </w:rPr>
              <w:t>Corresponding email / ORCID</w:t>
            </w:r>
          </w:p>
        </w:tc>
        <w:tc>
          <w:tcPr>
            <w:tcW w:type="dxa" w:w="7060"/>
            <w:vAlign w:val="center"/>
            <w:tcMar>
              <w:top w:w="105" w:type="dxa"/>
              <w:start w:w="120" w:type="dxa"/>
              <w:bottom w:w="105" w:type="dxa"/>
              <w:end w:w="120" w:type="dxa"/>
            </w:tcMar>
          </w:tcPr>
          <w:p>
            <w:r>
              <w:rPr>
                <w:rFonts w:ascii="Calibri" w:hAnsi="Calibri" w:eastAsia="Calibri"/>
                <w:b w:val="0"/>
                <w:i w:val="0"/>
                <w:color w:val="142033"/>
                <w:sz w:val="20"/>
              </w:rPr>
              <w:t xml:space="preserve"> </w:t>
            </w:r>
          </w:p>
        </w:tc>
      </w:tr>
    </w:tbl>
    <w:p>
      <w:pPr>
        <w:pStyle w:val="Heading1"/>
      </w:pPr>
      <w:r>
        <w:t>AGREED TERMS</w:t>
      </w:r>
    </w:p>
    <w:p>
      <w:pPr>
        <w:pStyle w:val="Heading2"/>
      </w:pPr>
      <w:r>
        <w:t>1. Parties and effect of this agreement</w:t>
      </w:r>
    </w:p>
    <w:p>
      <w:pPr>
        <w:keepLines/>
      </w:pPr>
      <w:r>
        <w:t>This agreement is between every author of the Article and the Nigerian Journal of Communication Review (NJCR). It takes effect only when NJCR accepts the Article for publication. If the Article is rejected or withdrawn before publication, the publication licence in clause 4 does not take effect. Electronic acceptance of NJCR's Copyright Notice during submission remains part of the submission record; this signed document confirms the terms for an accepted Article.</w:t>
      </w:r>
    </w:p>
    <w:p>
      <w:pPr>
        <w:pStyle w:val="Heading2"/>
      </w:pPr>
      <w:r>
        <w:t>2. Authorship and authority</w:t>
      </w:r>
    </w:p>
    <w:p>
      <w:pPr>
        <w:keepLines/>
      </w:pPr>
      <w:r>
        <w:t>The authors confirm that every person listed as an author made a qualifying contribution, approved the submitted and accepted versions, and accepts responsibility for the integrity of the work. The corresponding author confirms that all authors have authorised the submission and, where the corresponding author signs on their behalf, have authorised that signature. Any change to authorship requires a written explanation and the approval of all affected authors and NJCR.</w:t>
      </w:r>
    </w:p>
    <w:p>
      <w:pPr>
        <w:pStyle w:val="Heading2"/>
      </w:pPr>
      <w:r>
        <w:t>3. Originality and author warranties</w:t>
      </w:r>
    </w:p>
    <w:p>
      <w:pPr>
        <w:keepLines/>
      </w:pPr>
      <w:r>
        <w:t>The authors warrant that the Article is original; is not published or under consideration elsewhere, except for a disclosed preprint, thesis, conference abstract or other permitted prior version; does not infringe copyright, privacy, confidentiality or other rights; is not unlawful or defamatory; and accurately attributes sources. The authors have disclosed any overlapping publication and supplied all permissions needed for third-party material.</w:t>
      </w:r>
    </w:p>
    <w:p>
      <w:pPr>
        <w:pStyle w:val="Heading2"/>
      </w:pPr>
      <w:r>
        <w:t>4. Copyright and licence granted to NJCR</w:t>
      </w:r>
    </w:p>
    <w:p>
      <w:pPr>
        <w:keepLines/>
      </w:pPr>
      <w:r>
        <w:t>Copyright remains with the authors. The authors grant NJCR a non-exclusive, worldwide, royalty-free licence to edit, publish, reproduce, distribute, communicate, display, index, archive, preserve and migrate the Article and its metadata in any medium or format; to create accessible and preservation copies; and to authorise services acting for NJCR to do the same. This is a licence to publish, not a transfer of copyright.</w:t>
      </w:r>
    </w:p>
    <w:p>
      <w:pPr>
        <w:pStyle w:val="Heading2"/>
      </w:pPr>
      <w:r>
        <w:t>5. Open-access licence</w:t>
      </w:r>
    </w:p>
    <w:p>
      <w:pPr>
        <w:keepLines/>
      </w:pPr>
      <w:r>
        <w:t>NJCR will publish the Version of Record under the Creative Commons Attribution 4.0 International licence (CC BY 4.0): https://creativecommons.org/licenses/by/4.0/. Under that licence, readers may share and adapt the work for any purpose provided appropriate credit is given, a link to the licence is supplied and changes are indicated. Material identified as excluded from the Creative Commons licence remains subject to its separate rights statement.</w:t>
      </w:r>
    </w:p>
    <w:p>
      <w:pPr>
        <w:pStyle w:val="Heading2"/>
      </w:pPr>
      <w:r>
        <w:t>6. Rights retained by authors</w:t>
      </w:r>
    </w:p>
    <w:p>
      <w:pPr>
        <w:keepLines/>
      </w:pPr>
      <w:r>
        <w:t>The authors may use the Article in teaching, presentations, theses, dissertations, future books or collected works; share it with colleagues; and deposit the accepted manuscript or Version of Record in a personal, funder or institutional repository, provided NJCR's Version of Record is acknowledged and linked using the DOI or canonical article address where available. Reuse must comply with the CC BY 4.0 attribution requirements and must not imply NJCR endorsement.</w:t>
      </w:r>
    </w:p>
    <w:p>
      <w:pPr>
        <w:pStyle w:val="Heading2"/>
      </w:pPr>
      <w:r>
        <w:t>7. Editorial preparation and scholarly record</w:t>
      </w:r>
    </w:p>
    <w:p>
      <w:pPr>
        <w:keepLines/>
      </w:pPr>
      <w:r>
        <w:t>The authors authorise NJCR to copyedit, typeset, format and make non-substantive corrections. NJCR will consult the corresponding author about changes that may materially affect meaning. After publication, NJCR may issue corrections, expressions of concern, retractions or exceptional removals under its policies and recognised publication-ethics guidance. The Article and related notices form part of the permanent scholarly record.</w:t>
      </w:r>
    </w:p>
    <w:p>
      <w:pPr>
        <w:pStyle w:val="Heading2"/>
      </w:pPr>
      <w:r>
        <w:t>8. Ethics, disclosures and research integrity</w:t>
      </w:r>
    </w:p>
    <w:p>
      <w:pPr>
        <w:keepLines/>
      </w:pPr>
      <w:r>
        <w:t>The authors confirm that required ethics approval, informed consent and permissions were obtained; data, images and results are presented honestly; funding and competing interests are fully disclosed; the data-availability statement is accurate; and the manuscript complies with NJCR's authorship, plagiarism, peer-review and artificial-intelligence policies. Authors remain responsible for all content, including content prepared with permitted tools.</w:t>
      </w:r>
    </w:p>
    <w:p>
      <w:pPr>
        <w:pStyle w:val="Heading2"/>
      </w:pPr>
      <w:r>
        <w:t>9. Third-party content</w:t>
      </w:r>
    </w:p>
    <w:p>
      <w:pPr>
        <w:keepLines/>
      </w:pPr>
      <w:r>
        <w:t>For every figure, table, photograph, quotation, dataset or other item not owned by the authors, the authors will provide an appropriate credit and any written permission required for publication and open-access distribution. If a rights holder imposes different terms, those terms must be stated clearly in the Article.</w:t>
      </w:r>
    </w:p>
    <w:p>
      <w:pPr>
        <w:pStyle w:val="Heading2"/>
      </w:pPr>
      <w:r>
        <w:t>10. Fees and editorial independence</w:t>
      </w:r>
    </w:p>
    <w:p>
      <w:pPr>
        <w:keepLines/>
      </w:pPr>
      <w:r>
        <w:t>This agreement does not guarantee publication. Any article processing charge is governed by NJCR's current APC and Refund Policy and becomes payable only as stated there. Payment, waiver or non-payment does not determine peer-review outcomes or editorial decisions and does not purchase copyright or alter the CC BY 4.0 licence.</w:t>
      </w:r>
    </w:p>
    <w:p>
      <w:pPr>
        <w:pStyle w:val="Heading2"/>
      </w:pPr>
      <w:r>
        <w:t>11. Personal data and records</w:t>
      </w:r>
    </w:p>
    <w:p>
      <w:pPr>
        <w:keepLines/>
      </w:pPr>
      <w:r>
        <w:t>NJCR may store the agreement, author contact information, audit history and delivery records for editorial administration, publication, legal compliance and preservation. Access is restricted to authorised journal staff and service providers acting for NJCR. The signed agreement is an editorial file and is not published with the Article unless required by law or agreed by the authors.</w:t>
      </w:r>
    </w:p>
    <w:p>
      <w:pPr>
        <w:pStyle w:val="Heading2"/>
      </w:pPr>
      <w:r>
        <w:t>12. Withdrawal, termination and post-publication status</w:t>
      </w:r>
    </w:p>
    <w:p>
      <w:pPr>
        <w:keepLines/>
      </w:pPr>
      <w:r>
        <w:t>Before publication, withdrawal is governed by NJCR's policies and may end the publication licence. Once the Version of Record is published, the licence granted for that version is irrevocable to the extent needed to maintain, preserve, index and distribute the scholarly record, subject to applicable law and NJCR's correction and retraction policies.</w:t>
      </w:r>
    </w:p>
    <w:p>
      <w:pPr>
        <w:pStyle w:val="Heading2"/>
      </w:pPr>
      <w:r>
        <w:t>13. Governing law and resolution of disputes</w:t>
      </w:r>
    </w:p>
    <w:p>
      <w:pPr>
        <w:keepLines/>
      </w:pPr>
      <w:r>
        <w:t>The parties will first attempt in good faith to resolve any dispute through NJCR's Editor or authorised representative. This agreement is governed by the laws of the Federal Republic of Nigeria, and unresolved disputes are subject to courts of competent jurisdiction in Nigeria.</w:t>
      </w:r>
    </w:p>
    <w:p>
      <w:pPr>
        <w:pStyle w:val="Heading2"/>
      </w:pPr>
      <w:r>
        <w:t>14. Entire agreement and electronic signatures</w:t>
      </w:r>
    </w:p>
    <w:p>
      <w:pPr>
        <w:keepLines/>
      </w:pPr>
      <w:r>
        <w:t>This document, NJCR's published Copyright Notice and any written amendments accepted by NJCR form the agreement concerning publication of the Article. If a conflict arises, this signed document controls for the accepted Article. Signatures may be handwritten or electronic and may appear in counterparts, each of which is treated as an original.</w:t>
      </w:r>
    </w:p>
    <w:p>
      <w:pPr>
        <w:pStyle w:val="Heading1"/>
      </w:pPr>
      <w:r>
        <w:t>AUTHOR DECLARATION AND SIGNATURES</w:t>
      </w:r>
    </w:p>
    <w:p>
      <w:pPr>
        <w:keepLines/>
      </w:pPr>
      <w:r>
        <w:rPr>
          <w:b/>
        </w:rPr>
        <w:t xml:space="preserve">By signing below, each signatory confirms that they have read, understood and accepted this agreement and that the information supplied is accurate. </w:t>
      </w:r>
      <w:r>
        <w:t>The corresponding author must select one authority statement:</w:t>
      </w:r>
    </w:p>
    <w:p>
      <w:pPr>
        <w:pStyle w:val="ListBullet"/>
      </w:pPr>
      <w:r>
        <w:t>I am authorised in writing to sign this agreement for all authors.</w:t>
      </w:r>
    </w:p>
    <w:p>
      <w:pPr>
        <w:pStyle w:val="ListBullet"/>
      </w:pPr>
      <w:r>
        <w:t>Each author has signed below or on an attached counterpart.</w:t>
      </w:r>
    </w:p>
    <w:tbl>
      <w:tblPr>
        <w:tblW w:type="auto" w:w="0"/>
        <w:jc w:val="center"/>
        <w:tblLayout w:type="fixed"/>
        <w:tblLook w:firstColumn="1" w:firstRow="1" w:lastColumn="0" w:lastRow="0" w:noHBand="0" w:noVBand="1" w:val="04A0"/>
        <w:tblBorders>
          <w:top w:val="single" w:sz="6" w:color="D7E0EA"/>
          <w:left w:val="single" w:sz="6" w:color="D7E0EA"/>
          <w:bottom w:val="single" w:sz="6" w:color="D7E0EA"/>
          <w:right w:val="single" w:sz="6" w:color="D7E0EA"/>
          <w:insideH w:val="single" w:sz="6" w:color="D7E0EA"/>
          <w:insideV w:val="single" w:sz="6" w:color="D7E0EA"/>
        </w:tblBorders>
      </w:tblPr>
      <w:tblGrid>
        <w:gridCol w:w="1872"/>
        <w:gridCol w:w="1872"/>
        <w:gridCol w:w="1872"/>
        <w:gridCol w:w="1872"/>
        <w:gridCol w:w="1872"/>
      </w:tblGrid>
      <w:tr>
        <w:trPr>
          <w:tblHeader w:val="true"/>
        </w:trPr>
        <w:tc>
          <w:tcPr>
            <w:tcW w:type="dxa" w:w="1900"/>
            <w:shd w:fill="F2F4F7"/>
            <w:tcMar>
              <w:top w:w="90" w:type="dxa"/>
              <w:start w:w="80" w:type="dxa"/>
              <w:bottom w:w="90" w:type="dxa"/>
              <w:end w:w="80" w:type="dxa"/>
            </w:tcMar>
            <w:vAlign w:val="center"/>
          </w:tcPr>
          <w:p>
            <w:r>
              <w:rPr>
                <w:rFonts w:ascii="Calibri" w:hAnsi="Calibri" w:eastAsia="Calibri"/>
                <w:b/>
                <w:i w:val="0"/>
                <w:color w:val="082D61"/>
                <w:sz w:val="16"/>
              </w:rPr>
              <w:t>Printed name</w:t>
            </w:r>
          </w:p>
        </w:tc>
        <w:tc>
          <w:tcPr>
            <w:tcW w:type="dxa" w:w="2500"/>
            <w:shd w:fill="F2F4F7"/>
            <w:tcMar>
              <w:top w:w="90" w:type="dxa"/>
              <w:start w:w="80" w:type="dxa"/>
              <w:bottom w:w="90" w:type="dxa"/>
              <w:end w:w="80" w:type="dxa"/>
            </w:tcMar>
            <w:vAlign w:val="center"/>
          </w:tcPr>
          <w:p>
            <w:r>
              <w:rPr>
                <w:rFonts w:ascii="Calibri" w:hAnsi="Calibri" w:eastAsia="Calibri"/>
                <w:b/>
                <w:i w:val="0"/>
                <w:color w:val="082D61"/>
                <w:sz w:val="16"/>
              </w:rPr>
              <w:t>Email / ORCID</w:t>
            </w:r>
          </w:p>
        </w:tc>
        <w:tc>
          <w:tcPr>
            <w:tcW w:type="dxa" w:w="1300"/>
            <w:shd w:fill="F2F4F7"/>
            <w:tcMar>
              <w:top w:w="90" w:type="dxa"/>
              <w:start w:w="80" w:type="dxa"/>
              <w:bottom w:w="90" w:type="dxa"/>
              <w:end w:w="80" w:type="dxa"/>
            </w:tcMar>
            <w:vAlign w:val="center"/>
          </w:tcPr>
          <w:p>
            <w:r>
              <w:rPr>
                <w:rFonts w:ascii="Calibri" w:hAnsi="Calibri" w:eastAsia="Calibri"/>
                <w:b/>
                <w:i w:val="0"/>
                <w:color w:val="082D61"/>
                <w:sz w:val="16"/>
              </w:rPr>
              <w:t>Role</w:t>
            </w:r>
          </w:p>
        </w:tc>
        <w:tc>
          <w:tcPr>
            <w:tcW w:type="dxa" w:w="1500"/>
            <w:shd w:fill="F2F4F7"/>
            <w:tcMar>
              <w:top w:w="90" w:type="dxa"/>
              <w:start w:w="80" w:type="dxa"/>
              <w:bottom w:w="90" w:type="dxa"/>
              <w:end w:w="80" w:type="dxa"/>
            </w:tcMar>
            <w:vAlign w:val="center"/>
          </w:tcPr>
          <w:p>
            <w:r>
              <w:rPr>
                <w:rFonts w:ascii="Calibri" w:hAnsi="Calibri" w:eastAsia="Calibri"/>
                <w:b/>
                <w:i w:val="0"/>
                <w:color w:val="082D61"/>
                <w:sz w:val="16"/>
              </w:rPr>
              <w:t>Date</w:t>
            </w:r>
          </w:p>
        </w:tc>
        <w:tc>
          <w:tcPr>
            <w:tcW w:type="dxa" w:w="2160"/>
            <w:shd w:fill="F2F4F7"/>
            <w:tcMar>
              <w:top w:w="90" w:type="dxa"/>
              <w:start w:w="80" w:type="dxa"/>
              <w:bottom w:w="90" w:type="dxa"/>
              <w:end w:w="80" w:type="dxa"/>
            </w:tcMar>
            <w:vAlign w:val="center"/>
          </w:tcPr>
          <w:p>
            <w:r>
              <w:rPr>
                <w:rFonts w:ascii="Calibri" w:hAnsi="Calibri" w:eastAsia="Calibri"/>
                <w:b/>
                <w:i w:val="0"/>
                <w:color w:val="082D61"/>
                <w:sz w:val="16"/>
              </w:rPr>
              <w:t>Signature</w:t>
            </w:r>
          </w:p>
        </w:tc>
      </w:tr>
      <w:tr>
        <w:trPr>
          <w:cantSplit/>
        </w:trPr>
        <w:tc>
          <w:tcPr>
            <w:tcW w:type="dxa" w:w="1900"/>
            <w:tcMar>
              <w:top w:w="220" w:type="dxa"/>
              <w:start w:w="80" w:type="dxa"/>
              <w:bottom w:w="220" w:type="dxa"/>
              <w:end w:w="80" w:type="dxa"/>
            </w:tcMar>
          </w:tcPr>
          <w:p>
            <w:r>
              <w:t xml:space="preserve"> </w:t>
            </w:r>
          </w:p>
        </w:tc>
        <w:tc>
          <w:tcPr>
            <w:tcW w:type="dxa" w:w="2500"/>
            <w:tcMar>
              <w:top w:w="220" w:type="dxa"/>
              <w:start w:w="80" w:type="dxa"/>
              <w:bottom w:w="220" w:type="dxa"/>
              <w:end w:w="80" w:type="dxa"/>
            </w:tcMar>
          </w:tcPr>
          <w:p>
            <w:r>
              <w:t xml:space="preserve"> </w:t>
            </w:r>
          </w:p>
        </w:tc>
        <w:tc>
          <w:tcPr>
            <w:tcW w:type="dxa" w:w="1300"/>
            <w:tcMar>
              <w:top w:w="220" w:type="dxa"/>
              <w:start w:w="80" w:type="dxa"/>
              <w:bottom w:w="220" w:type="dxa"/>
              <w:end w:w="80" w:type="dxa"/>
            </w:tcMar>
          </w:tcPr>
          <w:p>
            <w:r>
              <w:t xml:space="preserve"> </w:t>
            </w:r>
          </w:p>
        </w:tc>
        <w:tc>
          <w:tcPr>
            <w:tcW w:type="dxa" w:w="1500"/>
            <w:tcMar>
              <w:top w:w="220" w:type="dxa"/>
              <w:start w:w="80" w:type="dxa"/>
              <w:bottom w:w="220" w:type="dxa"/>
              <w:end w:w="80" w:type="dxa"/>
            </w:tcMar>
          </w:tcPr>
          <w:p>
            <w:r>
              <w:t xml:space="preserve"> </w:t>
            </w:r>
          </w:p>
        </w:tc>
        <w:tc>
          <w:tcPr>
            <w:tcW w:type="dxa" w:w="2160"/>
            <w:tcMar>
              <w:top w:w="220" w:type="dxa"/>
              <w:start w:w="80" w:type="dxa"/>
              <w:bottom w:w="220" w:type="dxa"/>
              <w:end w:w="80" w:type="dxa"/>
            </w:tcMar>
          </w:tcPr>
          <w:p>
            <w:r>
              <w:t xml:space="preserve"> </w:t>
            </w:r>
          </w:p>
        </w:tc>
      </w:tr>
      <w:tr>
        <w:trPr>
          <w:cantSplit/>
        </w:trPr>
        <w:tc>
          <w:tcPr>
            <w:tcW w:type="dxa" w:w="1900"/>
            <w:tcMar>
              <w:top w:w="220" w:type="dxa"/>
              <w:start w:w="80" w:type="dxa"/>
              <w:bottom w:w="220" w:type="dxa"/>
              <w:end w:w="80" w:type="dxa"/>
            </w:tcMar>
          </w:tcPr>
          <w:p>
            <w:r>
              <w:t xml:space="preserve"> </w:t>
            </w:r>
          </w:p>
        </w:tc>
        <w:tc>
          <w:tcPr>
            <w:tcW w:type="dxa" w:w="2500"/>
            <w:tcMar>
              <w:top w:w="220" w:type="dxa"/>
              <w:start w:w="80" w:type="dxa"/>
              <w:bottom w:w="220" w:type="dxa"/>
              <w:end w:w="80" w:type="dxa"/>
            </w:tcMar>
          </w:tcPr>
          <w:p>
            <w:r>
              <w:t xml:space="preserve"> </w:t>
            </w:r>
          </w:p>
        </w:tc>
        <w:tc>
          <w:tcPr>
            <w:tcW w:type="dxa" w:w="1300"/>
            <w:tcMar>
              <w:top w:w="220" w:type="dxa"/>
              <w:start w:w="80" w:type="dxa"/>
              <w:bottom w:w="220" w:type="dxa"/>
              <w:end w:w="80" w:type="dxa"/>
            </w:tcMar>
          </w:tcPr>
          <w:p>
            <w:r>
              <w:t xml:space="preserve"> </w:t>
            </w:r>
          </w:p>
        </w:tc>
        <w:tc>
          <w:tcPr>
            <w:tcW w:type="dxa" w:w="1500"/>
            <w:tcMar>
              <w:top w:w="220" w:type="dxa"/>
              <w:start w:w="80" w:type="dxa"/>
              <w:bottom w:w="220" w:type="dxa"/>
              <w:end w:w="80" w:type="dxa"/>
            </w:tcMar>
          </w:tcPr>
          <w:p>
            <w:r>
              <w:t xml:space="preserve"> </w:t>
            </w:r>
          </w:p>
        </w:tc>
        <w:tc>
          <w:tcPr>
            <w:tcW w:type="dxa" w:w="2160"/>
            <w:tcMar>
              <w:top w:w="220" w:type="dxa"/>
              <w:start w:w="80" w:type="dxa"/>
              <w:bottom w:w="220" w:type="dxa"/>
              <w:end w:w="80" w:type="dxa"/>
            </w:tcMar>
          </w:tcPr>
          <w:p>
            <w:r>
              <w:t xml:space="preserve"> </w:t>
            </w:r>
          </w:p>
        </w:tc>
      </w:tr>
      <w:tr>
        <w:trPr>
          <w:cantSplit/>
        </w:trPr>
        <w:tc>
          <w:tcPr>
            <w:tcW w:type="dxa" w:w="1900"/>
            <w:tcMar>
              <w:top w:w="220" w:type="dxa"/>
              <w:start w:w="80" w:type="dxa"/>
              <w:bottom w:w="220" w:type="dxa"/>
              <w:end w:w="80" w:type="dxa"/>
            </w:tcMar>
          </w:tcPr>
          <w:p>
            <w:r>
              <w:t xml:space="preserve"> </w:t>
            </w:r>
          </w:p>
        </w:tc>
        <w:tc>
          <w:tcPr>
            <w:tcW w:type="dxa" w:w="2500"/>
            <w:tcMar>
              <w:top w:w="220" w:type="dxa"/>
              <w:start w:w="80" w:type="dxa"/>
              <w:bottom w:w="220" w:type="dxa"/>
              <w:end w:w="80" w:type="dxa"/>
            </w:tcMar>
          </w:tcPr>
          <w:p>
            <w:r>
              <w:t xml:space="preserve"> </w:t>
            </w:r>
          </w:p>
        </w:tc>
        <w:tc>
          <w:tcPr>
            <w:tcW w:type="dxa" w:w="1300"/>
            <w:tcMar>
              <w:top w:w="220" w:type="dxa"/>
              <w:start w:w="80" w:type="dxa"/>
              <w:bottom w:w="220" w:type="dxa"/>
              <w:end w:w="80" w:type="dxa"/>
            </w:tcMar>
          </w:tcPr>
          <w:p>
            <w:r>
              <w:t xml:space="preserve"> </w:t>
            </w:r>
          </w:p>
        </w:tc>
        <w:tc>
          <w:tcPr>
            <w:tcW w:type="dxa" w:w="1500"/>
            <w:tcMar>
              <w:top w:w="220" w:type="dxa"/>
              <w:start w:w="80" w:type="dxa"/>
              <w:bottom w:w="220" w:type="dxa"/>
              <w:end w:w="80" w:type="dxa"/>
            </w:tcMar>
          </w:tcPr>
          <w:p>
            <w:r>
              <w:t xml:space="preserve"> </w:t>
            </w:r>
          </w:p>
        </w:tc>
        <w:tc>
          <w:tcPr>
            <w:tcW w:type="dxa" w:w="2160"/>
            <w:tcMar>
              <w:top w:w="220" w:type="dxa"/>
              <w:start w:w="80" w:type="dxa"/>
              <w:bottom w:w="220" w:type="dxa"/>
              <w:end w:w="80" w:type="dxa"/>
            </w:tcMar>
          </w:tcPr>
          <w:p>
            <w:r>
              <w:t xml:space="preserve"> </w:t>
            </w:r>
          </w:p>
        </w:tc>
      </w:tr>
      <w:tr>
        <w:trPr>
          <w:cantSplit/>
        </w:trPr>
        <w:tc>
          <w:tcPr>
            <w:tcW w:type="dxa" w:w="1900"/>
            <w:tcMar>
              <w:top w:w="220" w:type="dxa"/>
              <w:start w:w="80" w:type="dxa"/>
              <w:bottom w:w="220" w:type="dxa"/>
              <w:end w:w="80" w:type="dxa"/>
            </w:tcMar>
          </w:tcPr>
          <w:p>
            <w:r>
              <w:t xml:space="preserve"> </w:t>
            </w:r>
          </w:p>
        </w:tc>
        <w:tc>
          <w:tcPr>
            <w:tcW w:type="dxa" w:w="2500"/>
            <w:tcMar>
              <w:top w:w="220" w:type="dxa"/>
              <w:start w:w="80" w:type="dxa"/>
              <w:bottom w:w="220" w:type="dxa"/>
              <w:end w:w="80" w:type="dxa"/>
            </w:tcMar>
          </w:tcPr>
          <w:p>
            <w:r>
              <w:t xml:space="preserve"> </w:t>
            </w:r>
          </w:p>
        </w:tc>
        <w:tc>
          <w:tcPr>
            <w:tcW w:type="dxa" w:w="1300"/>
            <w:tcMar>
              <w:top w:w="220" w:type="dxa"/>
              <w:start w:w="80" w:type="dxa"/>
              <w:bottom w:w="220" w:type="dxa"/>
              <w:end w:w="80" w:type="dxa"/>
            </w:tcMar>
          </w:tcPr>
          <w:p>
            <w:r>
              <w:t xml:space="preserve"> </w:t>
            </w:r>
          </w:p>
        </w:tc>
        <w:tc>
          <w:tcPr>
            <w:tcW w:type="dxa" w:w="1500"/>
            <w:tcMar>
              <w:top w:w="220" w:type="dxa"/>
              <w:start w:w="80" w:type="dxa"/>
              <w:bottom w:w="220" w:type="dxa"/>
              <w:end w:w="80" w:type="dxa"/>
            </w:tcMar>
          </w:tcPr>
          <w:p>
            <w:r>
              <w:t xml:space="preserve"> </w:t>
            </w:r>
          </w:p>
        </w:tc>
        <w:tc>
          <w:tcPr>
            <w:tcW w:type="dxa" w:w="2160"/>
            <w:tcMar>
              <w:top w:w="220" w:type="dxa"/>
              <w:start w:w="80" w:type="dxa"/>
              <w:bottom w:w="220" w:type="dxa"/>
              <w:end w:w="80" w:type="dxa"/>
            </w:tcMar>
          </w:tcPr>
          <w:p>
            <w:r>
              <w:t xml:space="preserve"> </w:t>
            </w:r>
          </w:p>
        </w:tc>
      </w:tr>
      <w:tr>
        <w:trPr>
          <w:cantSplit/>
        </w:trPr>
        <w:tc>
          <w:tcPr>
            <w:tcW w:type="dxa" w:w="1900"/>
            <w:tcMar>
              <w:top w:w="220" w:type="dxa"/>
              <w:start w:w="80" w:type="dxa"/>
              <w:bottom w:w="220" w:type="dxa"/>
              <w:end w:w="80" w:type="dxa"/>
            </w:tcMar>
          </w:tcPr>
          <w:p>
            <w:r>
              <w:t xml:space="preserve"> </w:t>
            </w:r>
          </w:p>
        </w:tc>
        <w:tc>
          <w:tcPr>
            <w:tcW w:type="dxa" w:w="2500"/>
            <w:tcMar>
              <w:top w:w="220" w:type="dxa"/>
              <w:start w:w="80" w:type="dxa"/>
              <w:bottom w:w="220" w:type="dxa"/>
              <w:end w:w="80" w:type="dxa"/>
            </w:tcMar>
          </w:tcPr>
          <w:p>
            <w:r>
              <w:t xml:space="preserve"> </w:t>
            </w:r>
          </w:p>
        </w:tc>
        <w:tc>
          <w:tcPr>
            <w:tcW w:type="dxa" w:w="1300"/>
            <w:tcMar>
              <w:top w:w="220" w:type="dxa"/>
              <w:start w:w="80" w:type="dxa"/>
              <w:bottom w:w="220" w:type="dxa"/>
              <w:end w:w="80" w:type="dxa"/>
            </w:tcMar>
          </w:tcPr>
          <w:p>
            <w:r>
              <w:t xml:space="preserve"> </w:t>
            </w:r>
          </w:p>
        </w:tc>
        <w:tc>
          <w:tcPr>
            <w:tcW w:type="dxa" w:w="1500"/>
            <w:tcMar>
              <w:top w:w="220" w:type="dxa"/>
              <w:start w:w="80" w:type="dxa"/>
              <w:bottom w:w="220" w:type="dxa"/>
              <w:end w:w="80" w:type="dxa"/>
            </w:tcMar>
          </w:tcPr>
          <w:p>
            <w:r>
              <w:t xml:space="preserve"> </w:t>
            </w:r>
          </w:p>
        </w:tc>
        <w:tc>
          <w:tcPr>
            <w:tcW w:type="dxa" w:w="2160"/>
            <w:tcMar>
              <w:top w:w="220" w:type="dxa"/>
              <w:start w:w="80" w:type="dxa"/>
              <w:bottom w:w="220" w:type="dxa"/>
              <w:end w:w="80" w:type="dxa"/>
            </w:tcMar>
          </w:tcPr>
          <w:p>
            <w:r>
              <w:t xml:space="preserve"> </w:t>
            </w:r>
          </w:p>
        </w:tc>
      </w:tr>
    </w:tbl>
    <w:p>
      <w:pPr>
        <w:jc w:val="center"/>
      </w:pPr>
      <w:r>
        <w:rPr>
          <w:rFonts w:ascii="Calibri" w:hAnsi="Calibri" w:eastAsia="Calibri"/>
          <w:b/>
          <w:i w:val="0"/>
          <w:color w:val="075FBD"/>
          <w:sz w:val="18"/>
        </w:rPr>
        <w:t>Editorial Office: admin@ncommreview.com | https://ncommreview.com</w:t>
      </w:r>
    </w:p>
    <w:sectPr w:rsidR="00FC693F" w:rsidRPr="0006063C" w:rsidSect="00034616">
      <w:headerReference w:type="default" r:id="rId9"/>
      <w:footerReference w:type="default" r:id="rId10"/>
      <w:pgSz w:w="12240" w:h="15840"/>
      <w:pgMar w:top="1181" w:right="1440" w:bottom="1080" w:left="1440"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eastAsia="Calibri"/>
        <w:b w:val="0"/>
        <w:i w:val="0"/>
        <w:color w:val="647184"/>
        <w:sz w:val="16"/>
      </w:rPr>
      <w:t xml:space="preserve">NJCR | ncommreview.com | Agreement v1.0 | </w:t>
    </w:r>
    <w:r>
      <w:t xml:space="preserve">Page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ayout w:type="fixed"/>
      <w:tblLook w:firstColumn="1" w:firstRow="1" w:lastColumn="0" w:lastRow="0" w:noHBand="0" w:noVBand="1" w:val="04A0"/>
    </w:tblPr>
    <w:tblGrid>
      <w:gridCol w:w="4680"/>
      <w:gridCol w:w="4680"/>
    </w:tblGrid>
    <w:tr>
      <w:tc>
        <w:tcPr>
          <w:tcW w:type="dxa" w:w="1350"/>
        </w:tcPr>
        <w:p>
          <w:pPr>
            <w:jc w:val="left"/>
          </w:pPr>
          <w:r>
            <w:drawing>
              <wp:inline xmlns:a="http://schemas.openxmlformats.org/drawingml/2006/main" xmlns:pic="http://schemas.openxmlformats.org/drawingml/2006/picture">
                <wp:extent cx="521207" cy="521207"/>
                <wp:docPr id="1" name="Picture 1"/>
                <wp:cNvGraphicFramePr>
                  <a:graphicFrameLocks noChangeAspect="1"/>
                </wp:cNvGraphicFramePr>
                <a:graphic>
                  <a:graphicData uri="http://schemas.openxmlformats.org/drawingml/2006/picture">
                    <pic:pic>
                      <pic:nvPicPr>
                        <pic:cNvPr id="0" name="njcr-logo.png"/>
                        <pic:cNvPicPr/>
                      </pic:nvPicPr>
                      <pic:blipFill>
                        <a:blip r:embed="rId1"/>
                        <a:stretch>
                          <a:fillRect/>
                        </a:stretch>
                      </pic:blipFill>
                      <pic:spPr>
                        <a:xfrm>
                          <a:off x="0" y="0"/>
                          <a:ext cx="521207" cy="521207"/>
                        </a:xfrm>
                        <a:prstGeom prst="rect"/>
                      </pic:spPr>
                    </pic:pic>
                  </a:graphicData>
                </a:graphic>
              </wp:inline>
            </w:drawing>
          </w:r>
        </w:p>
      </w:tc>
      <w:tc>
        <w:tcPr>
          <w:tcW w:type="dxa" w:w="8010"/>
        </w:tcPr>
        <w:p>
          <w:pPr>
            <w:jc w:val="right"/>
          </w:pPr>
          <w:r>
            <w:rPr>
              <w:rFonts w:ascii="Calibri" w:hAnsi="Calibri" w:eastAsia="Calibri"/>
              <w:b/>
              <w:i w:val="0"/>
              <w:color w:val="082D61"/>
              <w:sz w:val="19"/>
            </w:rPr>
            <w:t>NIGERIAN JOURNAL OF COMMUNICATION REVIEW</w:t>
            <w:br/>
          </w:r>
          <w:r>
            <w:rPr>
              <w:rFonts w:ascii="Calibri" w:hAnsi="Calibri" w:eastAsia="Calibri"/>
              <w:b/>
              <w:i w:val="0"/>
              <w:color w:val="64B725"/>
              <w:sz w:val="15"/>
            </w:rPr>
            <w:t>Open-access scholarly publishing</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Calibri" w:hAnsi="Calibri" w:eastAsia="Calibri"/>
      <w:color w:val="14203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80"/>
      <w:outlineLvl w:val="0"/>
    </w:pPr>
    <w:rPr>
      <w:rFonts w:asciiTheme="majorHAnsi" w:eastAsiaTheme="majorEastAsia" w:hAnsiTheme="majorHAnsi" w:cstheme="majorBidi" w:ascii="Calibri" w:hAnsi="Calibri" w:eastAsia="Calibri"/>
      <w:b/>
      <w:bCs/>
      <w:color w:val="075FBD"/>
      <w:sz w:val="25"/>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ascii="Calibri" w:hAnsi="Calibri" w:eastAsia="Calibri"/>
      <w:b/>
      <w:bCs/>
      <w:color w:val="082D61"/>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00" w:line="240" w:lineRule="auto"/>
      <w:contextualSpacing/>
    </w:pPr>
    <w:rPr>
      <w:rFonts w:asciiTheme="majorHAnsi" w:eastAsiaTheme="majorEastAsia" w:hAnsiTheme="majorHAnsi" w:cstheme="majorBidi" w:ascii="Calibri" w:hAnsi="Calibri" w:eastAsia="Calibri"/>
      <w:b/>
      <w:color w:val="082D61"/>
      <w:spacing w:val="5"/>
      <w:kern w:val="28"/>
      <w:sz w:val="3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NJCR Author Publishing and Copyright Licence Agreement</dc:title>
  <dc:subject>OJS-aligned publishing agreement for accepted NJCR articles</dc:subject>
  <dc:creator>Nigerian Journal of Communication Review</dc:creator>
  <cp:keywords>NJCR, publishing agreement, copyright, CC BY 4.0, OJS</cp:keywords>
  <dc:description>generated by python-docx</dc:description>
  <cp:lastModifiedBy/>
  <cp:revision>1</cp:revision>
  <dcterms:created xsi:type="dcterms:W3CDTF">2013-12-23T23:15:00Z</dcterms:created>
  <dcterms:modified xsi:type="dcterms:W3CDTF">2013-12-23T23:15:00Z</dcterms:modified>
  <cp:category/>
</cp:coreProperties>
</file>